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554" w:rsidRDefault="009F0554"/>
    <w:p w:rsidR="00742431" w:rsidRDefault="00742431"/>
    <w:p w:rsidR="00742431" w:rsidRDefault="00742431"/>
    <w:p w:rsidR="00742431" w:rsidRDefault="00742431"/>
    <w:p w:rsidR="00742431" w:rsidRPr="00742431" w:rsidRDefault="00742431" w:rsidP="0074243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u w:val="single"/>
        </w:rPr>
      </w:pPr>
      <w:r w:rsidRPr="00742431">
        <w:rPr>
          <w:rFonts w:eastAsia="Times New Roman" w:cstheme="minorHAnsi"/>
          <w:bCs/>
          <w:u w:val="single"/>
        </w:rPr>
        <w:t>Know Your Customer (KYC) &amp; Customer Due Diligence (CDD) Policy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 w:rsidRPr="00742431">
        <w:rPr>
          <w:rFonts w:eastAsia="Times New Roman" w:cstheme="minorHAnsi"/>
          <w:bCs/>
        </w:rPr>
        <w:t>1. Purpose &amp; Scope</w:t>
      </w:r>
    </w:p>
    <w:p w:rsidR="00742431" w:rsidRPr="00742431" w:rsidRDefault="00742431" w:rsidP="00742431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>This policy applies to all prospective and existing clients, including individual investors, corporate entities, institutions, and ultimate beneficial owners (UBOs).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2</w:t>
      </w:r>
      <w:r w:rsidRPr="00742431">
        <w:rPr>
          <w:rFonts w:eastAsia="Times New Roman" w:cstheme="minorHAnsi"/>
          <w:bCs/>
        </w:rPr>
        <w:t>. Customer Identification &amp; Verification (The KYC Process)</w:t>
      </w:r>
    </w:p>
    <w:p w:rsidR="00742431" w:rsidRPr="00742431" w:rsidRDefault="00742431" w:rsidP="00742431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>No account shall be opened anonymously or under fictitious names.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a)</w:t>
      </w:r>
      <w:r w:rsidRPr="00742431">
        <w:rPr>
          <w:rFonts w:eastAsia="Times New Roman" w:cstheme="minorHAnsi"/>
          <w:bCs/>
        </w:rPr>
        <w:t xml:space="preserve"> Individual Accounts (Resident/Non-Resident Pakistanis)</w:t>
      </w:r>
    </w:p>
    <w:p w:rsidR="00742431" w:rsidRPr="00742431" w:rsidRDefault="00742431" w:rsidP="00742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Identification:</w:t>
      </w:r>
      <w:r w:rsidRPr="00742431">
        <w:rPr>
          <w:rFonts w:eastAsia="Times New Roman" w:cstheme="minorHAnsi"/>
        </w:rPr>
        <w:t xml:space="preserve"> Full name, permanent and mailing address, date of birth, nationality, and source of income.</w:t>
      </w:r>
    </w:p>
    <w:p w:rsidR="00742431" w:rsidRPr="00742431" w:rsidRDefault="00742431" w:rsidP="00742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Verification:</w:t>
      </w:r>
      <w:r w:rsidRPr="00742431">
        <w:rPr>
          <w:rFonts w:eastAsia="Times New Roman" w:cstheme="minorHAnsi"/>
        </w:rPr>
        <w:t xml:space="preserve"> Valid </w:t>
      </w:r>
      <w:r w:rsidRPr="00742431">
        <w:rPr>
          <w:rFonts w:eastAsia="Times New Roman" w:cstheme="minorHAnsi"/>
          <w:bCs/>
        </w:rPr>
        <w:t>CNIC</w:t>
      </w:r>
      <w:r w:rsidRPr="00742431">
        <w:rPr>
          <w:rFonts w:eastAsia="Times New Roman" w:cstheme="minorHAnsi"/>
        </w:rPr>
        <w:t xml:space="preserve">, </w:t>
      </w:r>
      <w:r w:rsidRPr="00742431">
        <w:rPr>
          <w:rFonts w:eastAsia="Times New Roman" w:cstheme="minorHAnsi"/>
          <w:bCs/>
        </w:rPr>
        <w:t>SNIC</w:t>
      </w:r>
      <w:r w:rsidRPr="00742431">
        <w:rPr>
          <w:rFonts w:eastAsia="Times New Roman" w:cstheme="minorHAnsi"/>
        </w:rPr>
        <w:t xml:space="preserve">, or </w:t>
      </w:r>
      <w:r w:rsidRPr="00742431">
        <w:rPr>
          <w:rFonts w:eastAsia="Times New Roman" w:cstheme="minorHAnsi"/>
          <w:bCs/>
        </w:rPr>
        <w:t>NICOP</w:t>
      </w:r>
      <w:r w:rsidRPr="00742431">
        <w:rPr>
          <w:rFonts w:eastAsia="Times New Roman" w:cstheme="minorHAnsi"/>
        </w:rPr>
        <w:t xml:space="preserve"> (for </w:t>
      </w:r>
      <w:proofErr w:type="gramStart"/>
      <w:r w:rsidRPr="00742431">
        <w:rPr>
          <w:rFonts w:eastAsia="Times New Roman" w:cstheme="minorHAnsi"/>
        </w:rPr>
        <w:t>Non</w:t>
      </w:r>
      <w:r w:rsidR="00FE3863"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Residents</w:t>
      </w:r>
      <w:proofErr w:type="gramEnd"/>
      <w:r w:rsidRPr="00742431">
        <w:rPr>
          <w:rFonts w:eastAsia="Times New Roman" w:cstheme="minorHAnsi"/>
        </w:rPr>
        <w:t>).</w:t>
      </w:r>
    </w:p>
    <w:p w:rsidR="00742431" w:rsidRPr="00742431" w:rsidRDefault="00742431" w:rsidP="00742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Banking Linkage:</w:t>
      </w:r>
      <w:r w:rsidRPr="00742431">
        <w:rPr>
          <w:rFonts w:eastAsia="Times New Roman" w:cstheme="minorHAnsi"/>
        </w:rPr>
        <w:t xml:space="preserve"> Mandatory International Bank Account Number (</w:t>
      </w:r>
      <w:r w:rsidRPr="00742431">
        <w:rPr>
          <w:rFonts w:eastAsia="Times New Roman" w:cstheme="minorHAnsi"/>
          <w:bCs/>
        </w:rPr>
        <w:t>IBAN</w:t>
      </w:r>
      <w:r w:rsidRPr="00742431">
        <w:rPr>
          <w:rFonts w:eastAsia="Times New Roman" w:cstheme="minorHAnsi"/>
        </w:rPr>
        <w:t>) verification. Cross-matching of the title of the bank account with the investor's identity.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b)</w:t>
      </w:r>
      <w:r w:rsidRPr="00742431">
        <w:rPr>
          <w:rFonts w:eastAsia="Times New Roman" w:cstheme="minorHAnsi"/>
          <w:bCs/>
        </w:rPr>
        <w:t xml:space="preserve"> Corporate &amp; Institutional Accounts</w:t>
      </w:r>
    </w:p>
    <w:p w:rsidR="00742431" w:rsidRPr="00742431" w:rsidRDefault="00742431" w:rsidP="00742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Corporate Documents:</w:t>
      </w:r>
      <w:r w:rsidRPr="00742431">
        <w:rPr>
          <w:rFonts w:eastAsia="Times New Roman" w:cstheme="minorHAnsi"/>
        </w:rPr>
        <w:t xml:space="preserve"> Certified copies of Certificate of Incorporation, Memorandum &amp; Articles of Association, Form A/Form 29.</w:t>
      </w:r>
    </w:p>
    <w:p w:rsidR="00742431" w:rsidRPr="00742431" w:rsidRDefault="00742431" w:rsidP="00742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Authorization:</w:t>
      </w:r>
      <w:r w:rsidRPr="00742431">
        <w:rPr>
          <w:rFonts w:eastAsia="Times New Roman" w:cstheme="minorHAnsi"/>
        </w:rPr>
        <w:t xml:space="preserve"> Board Resolution authorizing the opening of the account and designating authorized signatories.</w:t>
      </w:r>
    </w:p>
    <w:p w:rsidR="00742431" w:rsidRPr="00742431" w:rsidRDefault="00742431" w:rsidP="00742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Identification of Representatives:</w:t>
      </w:r>
      <w:r w:rsidRPr="00742431">
        <w:rPr>
          <w:rFonts w:eastAsia="Times New Roman" w:cstheme="minorHAnsi"/>
        </w:rPr>
        <w:t xml:space="preserve"> CNICs/Passports of all directors and authorized signatories.</w:t>
      </w: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 c)</w:t>
      </w:r>
      <w:r w:rsidR="00742431" w:rsidRPr="00742431">
        <w:rPr>
          <w:rFonts w:eastAsia="Times New Roman" w:cstheme="minorHAnsi"/>
          <w:bCs/>
        </w:rPr>
        <w:t xml:space="preserve"> Ultimate Beneficial Owners (UBOs)</w:t>
      </w:r>
    </w:p>
    <w:p w:rsidR="00742431" w:rsidRPr="00742431" w:rsidRDefault="00742431" w:rsidP="00742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Reasonable steps must be taken to identify and verify the natural persons who ultimately own or control </w:t>
      </w:r>
      <w:r w:rsidRPr="00742431">
        <w:rPr>
          <w:rFonts w:eastAsia="Times New Roman" w:cstheme="minorHAnsi"/>
          <w:bCs/>
        </w:rPr>
        <w:t>10% or more</w:t>
      </w:r>
      <w:r w:rsidRPr="00742431">
        <w:rPr>
          <w:rFonts w:eastAsia="Times New Roman" w:cstheme="minorHAnsi"/>
        </w:rPr>
        <w:t xml:space="preserve"> of the corporate entity’s shares or voting rights.</w:t>
      </w:r>
    </w:p>
    <w:p w:rsid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3</w:t>
      </w:r>
      <w:r w:rsidR="00742431" w:rsidRPr="00742431">
        <w:rPr>
          <w:rFonts w:eastAsia="Times New Roman" w:cstheme="minorHAnsi"/>
          <w:bCs/>
        </w:rPr>
        <w:t>. Customer Due Diligence (CDD) Measures</w:t>
      </w:r>
    </w:p>
    <w:p w:rsidR="00742431" w:rsidRPr="00742431" w:rsidRDefault="00742431" w:rsidP="00742431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>A Risk</w:t>
      </w:r>
      <w:r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 xml:space="preserve">Based Approach (RBA) </w:t>
      </w:r>
      <w:r>
        <w:rPr>
          <w:rFonts w:eastAsia="Times New Roman" w:cstheme="minorHAnsi"/>
        </w:rPr>
        <w:t xml:space="preserve">has been </w:t>
      </w:r>
      <w:r w:rsidRPr="00742431">
        <w:rPr>
          <w:rFonts w:eastAsia="Times New Roman" w:cstheme="minorHAnsi"/>
        </w:rPr>
        <w:t xml:space="preserve">implemented to categorize clients into Low, Medium, and </w:t>
      </w:r>
      <w:proofErr w:type="gramStart"/>
      <w:r w:rsidRPr="00742431">
        <w:rPr>
          <w:rFonts w:eastAsia="Times New Roman" w:cstheme="minorHAnsi"/>
        </w:rPr>
        <w:t>High</w:t>
      </w:r>
      <w:r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risk</w:t>
      </w:r>
      <w:proofErr w:type="gramEnd"/>
      <w:r w:rsidRPr="00742431">
        <w:rPr>
          <w:rFonts w:eastAsia="Times New Roman" w:cstheme="minorHAnsi"/>
        </w:rPr>
        <w:t xml:space="preserve"> segments.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         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            Customer Risk Profiling     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         └───────────────</w:t>
      </w:r>
      <w:r w:rsidRPr="00742431">
        <w:rPr>
          <w:rFonts w:ascii="Arial" w:eastAsia="Times New Roman" w:hAnsi="Arial" w:cs="Arial"/>
        </w:rPr>
        <w:t>┬</w:t>
      </w:r>
      <w:r w:rsidRPr="00742431">
        <w:rPr>
          <w:rFonts w:ascii="Calibri" w:eastAsia="Times New Roman" w:hAnsi="Calibri" w:cs="Calibri"/>
        </w:rPr>
        <w:t>───────────────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                         │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┌────────────────────────</w:t>
      </w:r>
      <w:r w:rsidRPr="00742431">
        <w:rPr>
          <w:rFonts w:ascii="Arial" w:eastAsia="Times New Roman" w:hAnsi="Arial" w:cs="Arial"/>
        </w:rPr>
        <w:t>┼</w:t>
      </w:r>
      <w:r w:rsidRPr="00742431">
        <w:rPr>
          <w:rFonts w:ascii="Calibri" w:eastAsia="Times New Roman" w:hAnsi="Calibri" w:cs="Calibri"/>
        </w:rPr>
        <w:t>────────────────────────┐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         </w:t>
      </w:r>
      <w:r w:rsidRPr="00742431">
        <w:rPr>
          <w:rFonts w:ascii="Arial" w:eastAsia="Times New Roman" w:hAnsi="Arial" w:cs="Arial"/>
        </w:rPr>
        <w:t>▼</w:t>
      </w:r>
      <w:r w:rsidRPr="00742431">
        <w:rPr>
          <w:rFonts w:eastAsia="Times New Roman" w:cstheme="minorHAnsi"/>
        </w:rPr>
        <w:t xml:space="preserve">                        </w:t>
      </w:r>
      <w:r w:rsidRPr="00742431">
        <w:rPr>
          <w:rFonts w:ascii="Arial" w:eastAsia="Times New Roman" w:hAnsi="Arial" w:cs="Arial"/>
        </w:rPr>
        <w:t>▼</w:t>
      </w:r>
      <w:r w:rsidRPr="00742431">
        <w:rPr>
          <w:rFonts w:eastAsia="Times New Roman" w:cstheme="minorHAnsi"/>
        </w:rPr>
        <w:t xml:space="preserve">                        </w:t>
      </w:r>
      <w:r w:rsidRPr="00742431">
        <w:rPr>
          <w:rFonts w:ascii="Arial" w:eastAsia="Times New Roman" w:hAnsi="Arial" w:cs="Arial"/>
        </w:rPr>
        <w:t>▼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proofErr w:type="gramStart"/>
      <w:r w:rsidRPr="00742431">
        <w:rPr>
          <w:rFonts w:eastAsia="Times New Roman" w:cstheme="minorHAnsi"/>
        </w:rPr>
        <w:t>│  Simplified</w:t>
      </w:r>
      <w:proofErr w:type="gramEnd"/>
      <w:r w:rsidRPr="00742431">
        <w:rPr>
          <w:rFonts w:eastAsia="Times New Roman" w:cstheme="minorHAnsi"/>
        </w:rPr>
        <w:t xml:space="preserve"> CDD  │    </w:t>
      </w:r>
      <w:r>
        <w:rPr>
          <w:rFonts w:eastAsia="Times New Roman" w:cstheme="minorHAnsi"/>
        </w:rPr>
        <w:t xml:space="preserve">              </w:t>
      </w:r>
      <w:r w:rsidRPr="00742431">
        <w:rPr>
          <w:rFonts w:eastAsia="Times New Roman" w:cstheme="minorHAnsi"/>
        </w:rPr>
        <w:t xml:space="preserve">│ Standard CDD   │    </w:t>
      </w:r>
      <w:r>
        <w:rPr>
          <w:rFonts w:eastAsia="Times New Roman" w:cstheme="minorHAnsi"/>
        </w:rPr>
        <w:tab/>
        <w:t xml:space="preserve">       </w:t>
      </w:r>
      <w:r w:rsidRPr="00742431">
        <w:rPr>
          <w:rFonts w:eastAsia="Times New Roman" w:cstheme="minorHAnsi"/>
        </w:rPr>
        <w:t>│   Enhanced CDD   │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proofErr w:type="gramStart"/>
      <w:r w:rsidRPr="00742431">
        <w:rPr>
          <w:rFonts w:eastAsia="Times New Roman" w:cstheme="minorHAnsi"/>
        </w:rPr>
        <w:t>│  (</w:t>
      </w:r>
      <w:proofErr w:type="gramEnd"/>
      <w:r w:rsidRPr="00742431">
        <w:rPr>
          <w:rFonts w:eastAsia="Times New Roman" w:cstheme="minorHAnsi"/>
        </w:rPr>
        <w:t xml:space="preserve">Low Risk /    │    </w:t>
      </w:r>
      <w:r>
        <w:rPr>
          <w:rFonts w:eastAsia="Times New Roman" w:cstheme="minorHAnsi"/>
        </w:rPr>
        <w:t xml:space="preserve">                   </w:t>
      </w:r>
      <w:r w:rsidRPr="00742431">
        <w:rPr>
          <w:rFonts w:eastAsia="Times New Roman" w:cstheme="minorHAnsi"/>
        </w:rPr>
        <w:t xml:space="preserve">│  (Regular Retail │  </w:t>
      </w:r>
      <w:r>
        <w:rPr>
          <w:rFonts w:eastAsia="Times New Roman" w:cstheme="minorHAnsi"/>
        </w:rPr>
        <w:t xml:space="preserve">          </w:t>
      </w:r>
      <w:r w:rsidRPr="00742431">
        <w:rPr>
          <w:rFonts w:eastAsia="Times New Roman" w:cstheme="minorHAnsi"/>
        </w:rPr>
        <w:t xml:space="preserve">│ </w:t>
      </w:r>
      <w:r>
        <w:rPr>
          <w:rFonts w:eastAsia="Times New Roman" w:cstheme="minorHAnsi"/>
        </w:rPr>
        <w:t xml:space="preserve">  </w:t>
      </w:r>
      <w:r w:rsidRPr="00742431">
        <w:rPr>
          <w:rFonts w:eastAsia="Times New Roman" w:cstheme="minorHAnsi"/>
        </w:rPr>
        <w:t>(High Risk / PEPs│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│ </w:t>
      </w:r>
      <w:proofErr w:type="spellStart"/>
      <w:r w:rsidRPr="00742431">
        <w:rPr>
          <w:rFonts w:eastAsia="Times New Roman" w:cstheme="minorHAnsi"/>
        </w:rPr>
        <w:t>Sahulat</w:t>
      </w:r>
      <w:proofErr w:type="spellEnd"/>
      <w:r w:rsidRPr="00742431">
        <w:rPr>
          <w:rFonts w:eastAsia="Times New Roman" w:cstheme="minorHAnsi"/>
        </w:rPr>
        <w:t xml:space="preserve"> </w:t>
      </w:r>
      <w:proofErr w:type="gramStart"/>
      <w:r w:rsidRPr="00742431">
        <w:rPr>
          <w:rFonts w:eastAsia="Times New Roman" w:cstheme="minorHAnsi"/>
        </w:rPr>
        <w:t>Accounts)│</w:t>
      </w:r>
      <w:proofErr w:type="gramEnd"/>
      <w:r w:rsidRPr="00742431">
        <w:rPr>
          <w:rFonts w:eastAsia="Times New Roman" w:cstheme="minorHAnsi"/>
        </w:rPr>
        <w:t xml:space="preserve">    </w:t>
      </w:r>
      <w:r>
        <w:rPr>
          <w:rFonts w:eastAsia="Times New Roman" w:cstheme="minorHAnsi"/>
        </w:rPr>
        <w:t xml:space="preserve">           </w:t>
      </w:r>
      <w:r w:rsidRPr="00742431">
        <w:rPr>
          <w:rFonts w:eastAsia="Times New Roman" w:cstheme="minorHAnsi"/>
        </w:rPr>
        <w:t xml:space="preserve">│  &amp; Corporates)  │    </w:t>
      </w:r>
      <w:r>
        <w:rPr>
          <w:rFonts w:eastAsia="Times New Roman" w:cstheme="minorHAnsi"/>
        </w:rPr>
        <w:tab/>
        <w:t xml:space="preserve">       </w:t>
      </w:r>
      <w:r w:rsidRPr="00742431">
        <w:rPr>
          <w:rFonts w:eastAsia="Times New Roman" w:cstheme="minorHAnsi"/>
        </w:rPr>
        <w:t>│ / High Net Worth)│</w:t>
      </w:r>
    </w:p>
    <w:p w:rsidR="00742431" w:rsidRPr="00742431" w:rsidRDefault="00742431" w:rsidP="00742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a)</w:t>
      </w:r>
      <w:r w:rsidR="00742431" w:rsidRPr="00742431">
        <w:rPr>
          <w:rFonts w:eastAsia="Times New Roman" w:cstheme="minorHAnsi"/>
          <w:bCs/>
        </w:rPr>
        <w:t xml:space="preserve"> Simplified Due Diligence (SDD)</w:t>
      </w:r>
    </w:p>
    <w:p w:rsidR="00742431" w:rsidRPr="00742431" w:rsidRDefault="00742431" w:rsidP="007424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Applicability:</w:t>
      </w:r>
      <w:r w:rsidRPr="00742431">
        <w:rPr>
          <w:rFonts w:eastAsia="Times New Roman" w:cstheme="minorHAnsi"/>
        </w:rPr>
        <w:t xml:space="preserve"> Applied to low</w:t>
      </w:r>
      <w:r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 xml:space="preserve">risk accounts, such as </w:t>
      </w:r>
      <w:proofErr w:type="spellStart"/>
      <w:r w:rsidRPr="00742431">
        <w:rPr>
          <w:rFonts w:eastAsia="Times New Roman" w:cstheme="minorHAnsi"/>
          <w:bCs/>
        </w:rPr>
        <w:t>Sahulat</w:t>
      </w:r>
      <w:proofErr w:type="spellEnd"/>
      <w:r w:rsidRPr="00742431">
        <w:rPr>
          <w:rFonts w:eastAsia="Times New Roman" w:cstheme="minorHAnsi"/>
          <w:bCs/>
        </w:rPr>
        <w:t xml:space="preserve"> Accounts</w:t>
      </w:r>
      <w:r w:rsidRPr="00742431">
        <w:rPr>
          <w:rFonts w:eastAsia="Times New Roman" w:cstheme="minorHAnsi"/>
        </w:rPr>
        <w:t xml:space="preserve"> or salaried individuals with low transaction thresholds.</w:t>
      </w:r>
    </w:p>
    <w:p w:rsidR="00742431" w:rsidRPr="00742431" w:rsidRDefault="00742431" w:rsidP="007424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Relaxation:</w:t>
      </w:r>
      <w:r w:rsidRPr="00742431">
        <w:rPr>
          <w:rFonts w:eastAsia="Times New Roman" w:cstheme="minorHAnsi"/>
        </w:rPr>
        <w:t xml:space="preserve"> Lower documentation requirements, provided no suspicion of ML/TF exists.</w:t>
      </w: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b)</w:t>
      </w:r>
      <w:r w:rsidR="00742431" w:rsidRPr="00742431">
        <w:rPr>
          <w:rFonts w:eastAsia="Times New Roman" w:cstheme="minorHAnsi"/>
          <w:bCs/>
        </w:rPr>
        <w:t xml:space="preserve"> Enhanced Due Diligence (EDD)</w:t>
      </w:r>
    </w:p>
    <w:p w:rsidR="00742431" w:rsidRPr="00742431" w:rsidRDefault="00742431" w:rsidP="007424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Applicability:</w:t>
      </w:r>
      <w:r w:rsidRPr="00742431">
        <w:rPr>
          <w:rFonts w:eastAsia="Times New Roman" w:cstheme="minorHAnsi"/>
        </w:rPr>
        <w:t xml:space="preserve"> High</w:t>
      </w:r>
      <w:r w:rsidR="00FE3863"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risk clients, offshore corporate structures, Politically Exposed Persons (PEPs), complex trusts, and clients from high</w:t>
      </w:r>
      <w:r w:rsidR="00FE3863"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risk geographic areas.</w:t>
      </w:r>
    </w:p>
    <w:p w:rsidR="00742431" w:rsidRPr="00742431" w:rsidRDefault="00742431" w:rsidP="007424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u w:val="single"/>
        </w:rPr>
      </w:pPr>
      <w:r w:rsidRPr="00742431">
        <w:rPr>
          <w:rFonts w:eastAsia="Times New Roman" w:cstheme="minorHAnsi"/>
          <w:bCs/>
          <w:u w:val="single"/>
        </w:rPr>
        <w:t>Requirements:</w:t>
      </w:r>
    </w:p>
    <w:p w:rsidR="00742431" w:rsidRPr="00742431" w:rsidRDefault="00742431" w:rsidP="007424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Mandatory verification of the </w:t>
      </w:r>
      <w:r w:rsidRPr="00742431">
        <w:rPr>
          <w:rFonts w:eastAsia="Times New Roman" w:cstheme="minorHAnsi"/>
          <w:bCs/>
        </w:rPr>
        <w:t>Source of Wealth (SoW)</w:t>
      </w:r>
      <w:r w:rsidRPr="00742431">
        <w:rPr>
          <w:rFonts w:eastAsia="Times New Roman" w:cstheme="minorHAnsi"/>
        </w:rPr>
        <w:t xml:space="preserve"> and </w:t>
      </w:r>
      <w:r w:rsidRPr="00742431">
        <w:rPr>
          <w:rFonts w:eastAsia="Times New Roman" w:cstheme="minorHAnsi"/>
          <w:bCs/>
        </w:rPr>
        <w:t>Source of Funds (</w:t>
      </w:r>
      <w:proofErr w:type="spellStart"/>
      <w:r w:rsidRPr="00742431">
        <w:rPr>
          <w:rFonts w:eastAsia="Times New Roman" w:cstheme="minorHAnsi"/>
          <w:bCs/>
        </w:rPr>
        <w:t>SoF</w:t>
      </w:r>
      <w:proofErr w:type="spellEnd"/>
      <w:r w:rsidRPr="00742431">
        <w:rPr>
          <w:rFonts w:eastAsia="Times New Roman" w:cstheme="minorHAnsi"/>
          <w:bCs/>
        </w:rPr>
        <w:t>)</w:t>
      </w:r>
      <w:r w:rsidRPr="00742431">
        <w:rPr>
          <w:rFonts w:eastAsia="Times New Roman" w:cstheme="minorHAnsi"/>
        </w:rPr>
        <w:t xml:space="preserve"> (e.g., FBR wealth statements, audited accounts, certified bank statements).</w:t>
      </w:r>
    </w:p>
    <w:p w:rsidR="00742431" w:rsidRPr="00742431" w:rsidRDefault="00742431" w:rsidP="007424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>Senior Management approval required to open or continue the relationship.</w:t>
      </w:r>
    </w:p>
    <w:p w:rsidR="00742431" w:rsidRPr="00742431" w:rsidRDefault="00742431" w:rsidP="007424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>Strict, continuous transaction monitoring.</w:t>
      </w: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4</w:t>
      </w:r>
      <w:r w:rsidR="00742431" w:rsidRPr="00742431">
        <w:rPr>
          <w:rFonts w:eastAsia="Times New Roman" w:cstheme="minorHAnsi"/>
          <w:bCs/>
        </w:rPr>
        <w:t>. Sanctions Screening &amp; Sanctions Compliance</w:t>
      </w:r>
    </w:p>
    <w:p w:rsidR="00742431" w:rsidRPr="00742431" w:rsidRDefault="00742431" w:rsidP="007424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gramStart"/>
      <w:r w:rsidRPr="00742431">
        <w:rPr>
          <w:rFonts w:eastAsia="Times New Roman" w:cstheme="minorHAnsi"/>
          <w:bCs/>
          <w:u w:val="single"/>
        </w:rPr>
        <w:t>Pre</w:t>
      </w:r>
      <w:r w:rsidR="00FE3863" w:rsidRPr="00FE3863">
        <w:rPr>
          <w:rFonts w:eastAsia="Times New Roman" w:cstheme="minorHAnsi"/>
          <w:bCs/>
          <w:u w:val="single"/>
        </w:rPr>
        <w:t xml:space="preserve"> </w:t>
      </w:r>
      <w:r w:rsidRPr="00742431">
        <w:rPr>
          <w:rFonts w:eastAsia="Times New Roman" w:cstheme="minorHAnsi"/>
          <w:bCs/>
          <w:u w:val="single"/>
        </w:rPr>
        <w:t>Onboarding</w:t>
      </w:r>
      <w:proofErr w:type="gramEnd"/>
      <w:r w:rsidRPr="00742431">
        <w:rPr>
          <w:rFonts w:eastAsia="Times New Roman" w:cstheme="minorHAnsi"/>
          <w:bCs/>
          <w:u w:val="single"/>
        </w:rPr>
        <w:t xml:space="preserve"> Screening</w:t>
      </w:r>
      <w:r w:rsidRPr="00742431">
        <w:rPr>
          <w:rFonts w:eastAsia="Times New Roman" w:cstheme="minorHAnsi"/>
          <w:bCs/>
        </w:rPr>
        <w:t>:</w:t>
      </w:r>
      <w:r w:rsidRPr="00742431">
        <w:rPr>
          <w:rFonts w:eastAsia="Times New Roman" w:cstheme="minorHAnsi"/>
        </w:rPr>
        <w:t xml:space="preserve"> Before account activation, all individuals, entities, and UBOs must be screened against the consolidated United Nations Security Council (UNSC) Sanctions List and the National Counter Terrorism Authority (NACTA) proscribed organizations/individuals list.</w:t>
      </w:r>
    </w:p>
    <w:p w:rsidR="00742431" w:rsidRPr="00742431" w:rsidRDefault="00742431" w:rsidP="007424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Strict Prohibitions:</w:t>
      </w:r>
      <w:r w:rsidRPr="00742431">
        <w:rPr>
          <w:rFonts w:eastAsia="Times New Roman" w:cstheme="minorHAnsi"/>
        </w:rPr>
        <w:t xml:space="preserve"> No account will be opened if a match is found. If an existing client matches a proscribed list, the broker shall immediately </w:t>
      </w:r>
      <w:r w:rsidRPr="00742431">
        <w:rPr>
          <w:rFonts w:eastAsia="Times New Roman" w:cstheme="minorHAnsi"/>
          <w:bCs/>
        </w:rPr>
        <w:t>freeze the account</w:t>
      </w:r>
      <w:r w:rsidRPr="00742431">
        <w:rPr>
          <w:rFonts w:eastAsia="Times New Roman" w:cstheme="minorHAnsi"/>
        </w:rPr>
        <w:t xml:space="preserve"> and notify the SECP and Financial Monitoring Unit (FMU) within 24 hours.</w:t>
      </w:r>
    </w:p>
    <w:p w:rsidR="00FE3863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FE3863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FE3863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</w:p>
    <w:p w:rsidR="00742431" w:rsidRPr="00742431" w:rsidRDefault="00FE3863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5</w:t>
      </w:r>
      <w:r w:rsidR="00742431" w:rsidRPr="00742431">
        <w:rPr>
          <w:rFonts w:eastAsia="Times New Roman" w:cstheme="minorHAnsi"/>
          <w:bCs/>
        </w:rPr>
        <w:t>. Ongoing Monitoring &amp; Reporting</w:t>
      </w:r>
    </w:p>
    <w:p w:rsidR="00742431" w:rsidRPr="00742431" w:rsidRDefault="00742431" w:rsidP="00742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Transaction Monitoring</w:t>
      </w:r>
      <w:r w:rsidRPr="00742431">
        <w:rPr>
          <w:rFonts w:eastAsia="Times New Roman" w:cstheme="minorHAnsi"/>
          <w:bCs/>
        </w:rPr>
        <w:t>:</w:t>
      </w:r>
      <w:r w:rsidRPr="00742431">
        <w:rPr>
          <w:rFonts w:eastAsia="Times New Roman" w:cstheme="minorHAnsi"/>
        </w:rPr>
        <w:t xml:space="preserve"> Automated or manual tracking of trading patterns against the client's declared income profile.</w:t>
      </w:r>
    </w:p>
    <w:p w:rsidR="00742431" w:rsidRPr="00742431" w:rsidRDefault="00742431" w:rsidP="00742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Currency Transaction Reports (CTR):</w:t>
      </w:r>
      <w:r w:rsidRPr="00742431">
        <w:rPr>
          <w:rFonts w:eastAsia="Times New Roman" w:cstheme="minorHAnsi"/>
        </w:rPr>
        <w:t xml:space="preserve"> Mandatory reporting to the FMU for cash or cash</w:t>
      </w:r>
      <w:r w:rsidR="00FE3863"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equivalent transactions exceeding the regulatory threshold.</w:t>
      </w:r>
    </w:p>
    <w:p w:rsidR="00742431" w:rsidRPr="00742431" w:rsidRDefault="00742431" w:rsidP="007424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Suspicious Transaction Reports (STR):</w:t>
      </w:r>
      <w:r w:rsidRPr="00742431">
        <w:rPr>
          <w:rFonts w:eastAsia="Times New Roman" w:cstheme="minorHAnsi"/>
        </w:rPr>
        <w:t xml:space="preserve"> If any transaction or attempted transaction lacks apparent economic justification or raises suspicion of ML/TF, an STR must be submitted to the FMU via the </w:t>
      </w:r>
      <w:proofErr w:type="spellStart"/>
      <w:r w:rsidRPr="00742431">
        <w:rPr>
          <w:rFonts w:eastAsia="Times New Roman" w:cstheme="minorHAnsi"/>
          <w:bCs/>
        </w:rPr>
        <w:t>goAML</w:t>
      </w:r>
      <w:proofErr w:type="spellEnd"/>
      <w:r w:rsidRPr="00742431">
        <w:rPr>
          <w:rFonts w:eastAsia="Times New Roman" w:cstheme="minorHAnsi"/>
        </w:rPr>
        <w:t xml:space="preserve"> portal immediately.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 w:rsidRPr="00742431">
        <w:rPr>
          <w:rFonts w:eastAsia="Times New Roman" w:cstheme="minorHAnsi"/>
          <w:bCs/>
        </w:rPr>
        <w:t>7. Governance &amp; Record Keeping</w:t>
      </w:r>
    </w:p>
    <w:p w:rsidR="00742431" w:rsidRPr="00742431" w:rsidRDefault="00742431" w:rsidP="007424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Compliance Officer:</w:t>
      </w:r>
      <w:r w:rsidRPr="00742431">
        <w:rPr>
          <w:rFonts w:eastAsia="Times New Roman" w:cstheme="minorHAnsi"/>
        </w:rPr>
        <w:t xml:space="preserve"> A dedicated, independent Compliance Officer shall be appointed to supervise the implementation of this policy.</w:t>
      </w:r>
    </w:p>
    <w:p w:rsidR="00742431" w:rsidRPr="00742431" w:rsidRDefault="00742431" w:rsidP="007424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Record Retention:</w:t>
      </w:r>
      <w:r w:rsidRPr="00742431">
        <w:rPr>
          <w:rFonts w:eastAsia="Times New Roman" w:cstheme="minorHAnsi"/>
        </w:rPr>
        <w:t xml:space="preserve"> All KYC records, account opening forms, ledger data, and transaction histories </w:t>
      </w:r>
      <w:bookmarkStart w:id="0" w:name="_GoBack"/>
      <w:bookmarkEnd w:id="0"/>
      <w:r w:rsidRPr="00742431">
        <w:rPr>
          <w:rFonts w:eastAsia="Times New Roman" w:cstheme="minorHAnsi"/>
        </w:rPr>
        <w:t xml:space="preserve">must be retained for a </w:t>
      </w:r>
      <w:r w:rsidRPr="00742431">
        <w:rPr>
          <w:rFonts w:eastAsia="Times New Roman" w:cstheme="minorHAnsi"/>
          <w:bCs/>
        </w:rPr>
        <w:t>minimum of 5 years</w:t>
      </w:r>
      <w:r w:rsidRPr="00742431">
        <w:rPr>
          <w:rFonts w:eastAsia="Times New Roman" w:cstheme="minorHAnsi"/>
        </w:rPr>
        <w:t xml:space="preserve"> after the business relationship is terminated.</w:t>
      </w:r>
    </w:p>
    <w:p w:rsidR="00742431" w:rsidRPr="00742431" w:rsidRDefault="00742431" w:rsidP="007424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  <w:bCs/>
          <w:u w:val="single"/>
        </w:rPr>
        <w:t>Staff Training:</w:t>
      </w:r>
      <w:r w:rsidRPr="00742431">
        <w:rPr>
          <w:rFonts w:eastAsia="Times New Roman" w:cstheme="minorHAnsi"/>
        </w:rPr>
        <w:t xml:space="preserve"> Annual training sessions are mandatory for all front</w:t>
      </w:r>
      <w:r w:rsidR="00FE3863">
        <w:rPr>
          <w:rFonts w:eastAsia="Times New Roman" w:cstheme="minorHAnsi"/>
        </w:rPr>
        <w:t xml:space="preserve"> </w:t>
      </w:r>
      <w:r w:rsidRPr="00742431">
        <w:rPr>
          <w:rFonts w:eastAsia="Times New Roman" w:cstheme="minorHAnsi"/>
        </w:rPr>
        <w:t>desk, operational, and trading staff to identify red flags and handle KYC protocols correctly.</w:t>
      </w:r>
    </w:p>
    <w:p w:rsidR="00742431" w:rsidRPr="00742431" w:rsidRDefault="00742431" w:rsidP="0074243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 w:rsidRPr="00742431">
        <w:rPr>
          <w:rFonts w:eastAsia="Times New Roman" w:cstheme="minorHAnsi"/>
          <w:bCs/>
        </w:rPr>
        <w:t>8. Policy Review &amp; Approval</w:t>
      </w:r>
    </w:p>
    <w:p w:rsidR="00742431" w:rsidRPr="00742431" w:rsidRDefault="00742431" w:rsidP="00742431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742431">
        <w:rPr>
          <w:rFonts w:eastAsia="Times New Roman" w:cstheme="minorHAnsi"/>
        </w:rPr>
        <w:t xml:space="preserve">This policy shall be reviewed annually by the Compliance Officer to incorporate evolving SECP/PSX circulars and must be formally approved by the </w:t>
      </w:r>
      <w:r w:rsidRPr="00742431">
        <w:rPr>
          <w:rFonts w:eastAsia="Times New Roman" w:cstheme="minorHAnsi"/>
          <w:bCs/>
        </w:rPr>
        <w:t>Board of Directors</w:t>
      </w:r>
      <w:r w:rsidRPr="00742431">
        <w:rPr>
          <w:rFonts w:eastAsia="Times New Roman" w:cstheme="minorHAnsi"/>
        </w:rPr>
        <w:t>.</w:t>
      </w:r>
    </w:p>
    <w:p w:rsidR="00742431" w:rsidRPr="00742431" w:rsidRDefault="00742431">
      <w:pPr>
        <w:rPr>
          <w:rFonts w:cstheme="minorHAnsi"/>
        </w:rPr>
      </w:pPr>
    </w:p>
    <w:sectPr w:rsidR="00742431" w:rsidRPr="00742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A39B0"/>
    <w:multiLevelType w:val="multilevel"/>
    <w:tmpl w:val="BC42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A436B"/>
    <w:multiLevelType w:val="multilevel"/>
    <w:tmpl w:val="1FEA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C4D8E"/>
    <w:multiLevelType w:val="multilevel"/>
    <w:tmpl w:val="24E4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B12DB"/>
    <w:multiLevelType w:val="multilevel"/>
    <w:tmpl w:val="422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A71F6"/>
    <w:multiLevelType w:val="multilevel"/>
    <w:tmpl w:val="908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32D9A"/>
    <w:multiLevelType w:val="multilevel"/>
    <w:tmpl w:val="62E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1E676C"/>
    <w:multiLevelType w:val="multilevel"/>
    <w:tmpl w:val="D4EA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F572A3"/>
    <w:multiLevelType w:val="multilevel"/>
    <w:tmpl w:val="3DF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F73212"/>
    <w:multiLevelType w:val="multilevel"/>
    <w:tmpl w:val="2EE0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31"/>
    <w:rsid w:val="00742431"/>
    <w:rsid w:val="009F0554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3D4E"/>
  <w15:chartTrackingRefBased/>
  <w15:docId w15:val="{6B547433-9769-4888-AED7-CCC67EC1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42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42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424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24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424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424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4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24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243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4243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9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    Know Your Customer (KYC) &amp; Customer Due Diligence (CDD) Policy</vt:lpstr>
      <vt:lpstr>        1. Purpose &amp; Scope</vt:lpstr>
      <vt:lpstr>        2. Customer Identification &amp; Verification (The KYC Process)</vt:lpstr>
      <vt:lpstr>        </vt:lpstr>
      <vt:lpstr>        </vt:lpstr>
      <vt:lpstr>        </vt:lpstr>
      <vt:lpstr>        </vt:lpstr>
      <vt:lpstr>        </vt:lpstr>
      <vt:lpstr>        3. Customer Due Diligence (CDD) Measures</vt:lpstr>
      <vt:lpstr>        4. Sanctions Screening &amp; Sanctions Compliance</vt:lpstr>
      <vt:lpstr>        </vt:lpstr>
      <vt:lpstr>        </vt:lpstr>
      <vt:lpstr>        </vt:lpstr>
      <vt:lpstr>        5. Ongoing Monitoring &amp; Reporting</vt:lpstr>
      <vt:lpstr>        7. Governance &amp; Record Keeping</vt:lpstr>
      <vt:lpstr>        8. Policy Review &amp; Approval</vt:lpstr>
    </vt:vector>
  </TitlesOfParts>
  <Company>Optimus Capital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Sarfraz Khan</dc:creator>
  <cp:keywords/>
  <dc:description/>
  <cp:lastModifiedBy>Sarfraz Khan</cp:lastModifiedBy>
  <cp:revision>1</cp:revision>
  <dcterms:created xsi:type="dcterms:W3CDTF">2026-07-07T06:29:00Z</dcterms:created>
  <dcterms:modified xsi:type="dcterms:W3CDTF">2026-07-07T06:47:00Z</dcterms:modified>
</cp:coreProperties>
</file>